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19a8e51132840d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30494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KASTAV</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12.557.699,94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13.524.012,22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8.209.377,14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9.546.715,43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4.348.322,80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3.977.296,79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123.869,47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42.343,67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6.478.064,05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5.010.739,14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6.354.194,58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4.968.395,47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2.665.249,48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658.850,00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1.431.325,25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551.524,65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1.233.924,23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107.325,35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771.947,55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883.773,33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114,5</w:t>
            </w:r>
          </w:p>
        </w:tc>
      </w:tr>
    </w:tbl>
    <w:p>
      <w:pPr>
        <w:spacing w:before="0" w:after="0"/>
      </w:pPr>
    </w:p>
    <w:p>
      <w:r>
        <w:t xml:space="preserve">U tekućoj godini ostvaren je pozitivan rezultat na razini prihoda poslovanja te primitaka od financijske imovine. Manjak je ostvaren od prihoda od nefinancijske imovine. Rezultat tekuće godine je manjak u iznosu 883.773,33 EUR.</w:t>
      </w:r>
    </w:p>
    <w:p>
      <w:r>
        <w:t xml:space="preserve">Iz ranije godine prenesen je višak kao rezultat prethodnog razdoblja.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7.744.209,90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9.376.094,09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Na svim pozicijama poreza na dohodak zabilježeno je povećanje. Rezultat je to kretanja na tržištu, rasta dohotka i veće aktivnosti.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805.094,60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600.079,17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r>
    </w:tbl>
    <w:p>
      <w:pPr>
        <w:spacing w:before="0" w:after="0"/>
      </w:pPr>
    </w:p>
    <w:p>
      <w:r>
        <w:t xml:space="preserve">Ostvareno je manje prihoda od naplate poreza na promet nekretnina. Evidenciju i naplatu provodi Porezna uprava temeljem kupoprodaja na tržištu te odabranih modela plaćanja.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inozemnih vlada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224.379,54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Grad je ostvario prihod po dva Interreg HR-SLO projekta na kojima je vodeći partner.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238.021,47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218.260,58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w:t>
            </w:r>
          </w:p>
        </w:tc>
      </w:tr>
    </w:tbl>
    <w:p>
      <w:pPr>
        <w:spacing w:before="0" w:after="0"/>
      </w:pPr>
    </w:p>
    <w:p>
      <w:r>
        <w:t xml:space="preserve">Odnosi se na sredstva iz državnog proračuna za projekt uređenja vrta u dječjem vrtiću 11.009,43 EUR, tekuće pomoći iz županijskog proračuna za manifestacije, prijevoz onkoloških bolesnika 20.539,40 EUR, za funkcionalno spajanje knjižnice i javnog prijevoza 10.382,35 EUR i 66.361,40 EUR te za fiskalnu održivost dječjih vrtića 109.968,00 EUR.</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770.970,69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324.852,35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w:t>
            </w:r>
          </w:p>
        </w:tc>
      </w:tr>
    </w:tbl>
    <w:p>
      <w:pPr>
        <w:spacing w:before="0" w:after="0"/>
      </w:pPr>
    </w:p>
    <w:p>
      <w:r>
        <w:t xml:space="preserve">Odnosi se na sredstva županijskog proračuna 51.700 EUR, iz državnog proračuna za sanaciju zidina, nabavu informatičke opreme 103.000 EUR te za spomen obilježje 8.000 EUR, od Općine Viškovo za zajednička ulaganja na groblju 2.593,75 EUR te zadnja rata lokalne komponenete za projekt Prede 159.558,60 EUR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Za projekt izobraznih aktivnosti o gospodarenju otpadom FZOEU je uplatio 15.000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576.294,96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w:t>
            </w:r>
          </w:p>
        </w:tc>
      </w:tr>
    </w:tbl>
    <w:p>
      <w:pPr>
        <w:spacing w:before="0" w:after="0"/>
      </w:pPr>
    </w:p>
    <w:p>
      <w:r>
        <w:t xml:space="preserve">Odnosi se na primljena sredstva za projekte uređenja javnih površina u svrhu prilagodbe klimatskim promjenama.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42.543,13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w:t>
            </w:r>
          </w:p>
        </w:tc>
      </w:tr>
    </w:tbl>
    <w:p>
      <w:pPr>
        <w:spacing w:before="0" w:after="0"/>
      </w:pPr>
    </w:p>
    <w:p>
      <w:r>
        <w:t xml:space="preserve">Isplata preostalih sredstava za projekt Erasmus.</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838.586,22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593.896,52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w:t>
            </w:r>
          </w:p>
        </w:tc>
      </w:tr>
    </w:tbl>
    <w:p>
      <w:pPr>
        <w:spacing w:before="0" w:after="0"/>
      </w:pPr>
    </w:p>
    <w:p>
      <w:r>
        <w:t xml:space="preserve">Odnosi se na primljena sredstva za projekt izgradnje i ioremanja reciklažnog dvorišta.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zateznih kamata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w:t>
            </w:r>
          </w:p>
        </w:tc>
      </w:tr>
    </w:tbl>
    <w:p>
      <w:pPr>
        <w:spacing w:before="0" w:after="0"/>
      </w:pPr>
    </w:p>
    <w:p>
      <w:r>
        <w:t xml:space="preserve">Naplata zateznih kamata tijekom godine. U 2024. g naplaćeno je jedno starije dugovanje.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158.026,78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134.343,51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w:t>
            </w:r>
          </w:p>
        </w:tc>
      </w:tr>
    </w:tbl>
    <w:p>
      <w:pPr>
        <w:spacing w:before="0" w:after="0"/>
      </w:pPr>
    </w:p>
    <w:p>
      <w:r>
        <w:t xml:space="preserve">Jedan poslovni prostor je prodan te više nije u zakupu, a zakup pojedinih je raskinut tijekom godine.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207.785,89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197.730,19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Odnosi se na naplatu naknada za pravo građenja (hotel i zona gospodarenja otpadom), naplatu spomeničke rente te naknade za dodjelu grobnih mjesta na korištenje.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kamata na dane zajmove neprofitnim organizacijama,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266,7</w:t>
            </w:r>
          </w:p>
        </w:tc>
      </w:tr>
    </w:tbl>
    <w:p>
      <w:pPr>
        <w:spacing w:before="0" w:after="0"/>
      </w:pPr>
    </w:p>
    <w:p>
      <w:r>
        <w:t xml:space="preserve">Odnosi se na naplatu kamate na obročnu otplatu komunalnog doprinosa.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Županijske, gradske i općinske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41.843,15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w:t>
            </w:r>
          </w:p>
        </w:tc>
      </w:tr>
    </w:tbl>
    <w:p>
      <w:pPr>
        <w:spacing w:before="0" w:after="0"/>
      </w:pPr>
    </w:p>
    <w:p>
      <w:r>
        <w:t xml:space="preserve">Naplatu naknade za održavanje groblja preuzelo je zajedničko komunalno društvo osnovano s Općinom Viškovo.</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53.353,80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38.788,37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w:t>
            </w:r>
          </w:p>
        </w:tc>
      </w:tr>
    </w:tbl>
    <w:p>
      <w:pPr>
        <w:spacing w:before="0" w:after="0"/>
      </w:pPr>
    </w:p>
    <w:p>
      <w:r>
        <w:t xml:space="preserve">Tijekom 2025. godine izvršeni su prijeboji s komunalnim društom Autotrolej (suvlasništvo s ostalim JLS) s obzirom na raspoloživa sredstva razvoja s kojima se vrši prijeboj u iznosu 34.848,98 EUR. Preostali dio odnosi se na refundaciju šteta te ostale prihode.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462.045,43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327.838,44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w:t>
            </w:r>
          </w:p>
        </w:tc>
      </w:tr>
    </w:tbl>
    <w:p>
      <w:pPr>
        <w:spacing w:before="0" w:after="0"/>
      </w:pPr>
    </w:p>
    <w:p>
      <w:r>
        <w:t xml:space="preserve">Realizacija ovisi o stvarnim kretanjima na tržištu te načinima plaćanja (jednokratno, obročno) te je nešto manja u odnosu na raniju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w:t>
            </w:r>
          </w:p>
        </w:tc>
      </w:tr>
    </w:tbl>
    <w:p>
      <w:pPr>
        <w:spacing w:before="0" w:after="0"/>
      </w:pPr>
    </w:p>
    <w:p>
      <w:r>
        <w:t xml:space="preserve">Grad je ostvario prihod od prodaje električne energije (solarni paneli).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kazne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140.010,26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w:t>
            </w:r>
          </w:p>
        </w:tc>
      </w:tr>
    </w:tbl>
    <w:p>
      <w:pPr>
        <w:spacing w:before="0" w:after="0"/>
      </w:pPr>
    </w:p>
    <w:p>
      <w:r>
        <w:t xml:space="preserve">Naplaćeni su penali po ugovoru o radovima, jamstvo za ozbiljnost ponude te nekoliko manjih kazni od strane komunalnog redara.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753.653,86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1.013.019,90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Povećanje se odnosi na povećanje osnovice od 01. siječnja 2025.g uslijed tržišnih kretanja i inflacije. Obračun prekovremenog rada izvršen je sukladno stvarnim potrebama i odrađenim satima.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117.300,21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167.269,21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142,6</w:t>
            </w:r>
          </w:p>
        </w:tc>
      </w:tr>
    </w:tbl>
    <w:p>
      <w:pPr>
        <w:spacing w:before="0" w:after="0"/>
      </w:pPr>
    </w:p>
    <w:p>
      <w:r>
        <w:t xml:space="preserve">Povećanje se odnosi na povećanje osnovice od 01. siječnja 2025.g uslijed tržišnih kretanja i inflacije.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Tijekom 2025. godine službenici su sudjelovali na nekoliko studijskih putovanja od kojih je većina bila financirana iz projekata.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17.105,23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19.158,65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Povećala se mjesečna naknada za javni prijevoz temeljem koje se isplaćuje naknada uz plaću.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407,0</w:t>
            </w:r>
          </w:p>
        </w:tc>
      </w:tr>
    </w:tbl>
    <w:p>
      <w:pPr>
        <w:spacing w:before="0" w:after="0"/>
      </w:pPr>
    </w:p>
    <w:p>
      <w:r>
        <w:t xml:space="preserve">Uslijed brojnih zakonskih izmjena koristile su se edukacije za stručno usavršavanje službenika prema potrebama.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23.088,84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32.038,83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w:t>
            </w:r>
          </w:p>
        </w:tc>
      </w:tr>
    </w:tbl>
    <w:p>
      <w:pPr>
        <w:spacing w:before="0" w:after="0"/>
      </w:pPr>
    </w:p>
    <w:p>
      <w:r>
        <w:t xml:space="preserve">Povećali su se rashodi za online literaturu koja se koristi u svakodnevnom radu te nabava različitog materijala za redovnu potrošnju s obzirom na preseljenje gradske uprave u novi objekt.</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w:t>
            </w:r>
          </w:p>
        </w:tc>
      </w:tr>
    </w:tbl>
    <w:p>
      <w:pPr>
        <w:spacing w:before="0" w:after="0"/>
      </w:pPr>
    </w:p>
    <w:p>
      <w:r>
        <w:t xml:space="preserve">Materijal nabavljen za potrebe sportskih manifestacija (pehari, medalje i sl.) te materijal za radionice financirane iz projekta.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128.795,81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153.009,38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Porast cijene električne energije te benzina.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w:t>
            </w:r>
          </w:p>
        </w:tc>
      </w:tr>
    </w:tbl>
    <w:p>
      <w:pPr>
        <w:spacing w:before="0" w:after="0"/>
      </w:pPr>
    </w:p>
    <w:p>
      <w:r>
        <w:t xml:space="preserve">Nabavljen je materijal sukladno potrebama za održavanje objekata i prostora.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w:t>
            </w:r>
          </w:p>
        </w:tc>
      </w:tr>
    </w:tbl>
    <w:p>
      <w:pPr>
        <w:spacing w:before="0" w:after="0"/>
      </w:pPr>
    </w:p>
    <w:p>
      <w:r>
        <w:t xml:space="preserve">Po isteku dvogodišnjeg ugovora, nabavljeni su novi službeni mobiteli kao i različiti materijal potreban za novu zgradu gradske uprave. Za malu muzejsku zbirku nabavljen je stari kotao.</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46.213,26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57.650,12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bl>
    <w:p>
      <w:pPr>
        <w:spacing w:before="0" w:after="0"/>
      </w:pPr>
    </w:p>
    <w:p>
      <w:r>
        <w:t xml:space="preserve">Vijeća nacionalnih manjina koristila su usluge prijevoza u više navrata, plaćeni su naknadno izdani računi za internet iz 2024.g nakon rješavanja problema oko izdavanja e-računa od strane operatera, povećan je trošak dostave gradskog glasnika.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774.005,16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1.029.559,30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w:t>
            </w:r>
          </w:p>
        </w:tc>
      </w:tr>
    </w:tbl>
    <w:p>
      <w:pPr>
        <w:spacing w:before="0" w:after="0"/>
      </w:pPr>
    </w:p>
    <w:p>
      <w:r>
        <w:t xml:space="preserve">Izvršena su ulaganja na investicijskom održavanju gradskih zidina, uređenju postojećeg prostora dječjeg vrtića, zamjenu parketa u sportskoj dvorani te druga tekuća ulaganja u gradske i sportske objekte i infrastrukturu kao i redovna održavanja komunalne infrastrukture na što je utrošeno 625.515 EUR.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93.044,67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104.891,44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Povećanje se odnosi na nabavljeni promidžbeni materijal kroz Interreg projekt, veću promociju gradskih manifestacija te prisutnost na društvenim mrežama i kanalima.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209.074,52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261.749,09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r>
        <w:t xml:space="preserve">Povećanje se odnosi na plaćanje naknade za upravljanje novoizgrađenim reciklažnim dvorištem.</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54.297,48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r>
        <w:t xml:space="preserve">Gradska knjižnica premještena je u novi prostor te se od sredine godine ne plaća zakup.</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17.850,73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w:t>
            </w:r>
          </w:p>
        </w:tc>
      </w:tr>
    </w:tbl>
    <w:p>
      <w:pPr>
        <w:spacing w:before="0" w:after="0"/>
      </w:pPr>
    </w:p>
    <w:p>
      <w:r>
        <w:t xml:space="preserve">Intervencije tijekom godine prema ugovoru s Veterinarskom stanicom Rijeka te dodatno zbog potrebe zbrinjavanja i liječenja u azilu s Veterinarskom ambulantom Crikvenica.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77.336,42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93.464,63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w:t>
            </w:r>
          </w:p>
        </w:tc>
      </w:tr>
    </w:tbl>
    <w:p>
      <w:pPr>
        <w:spacing w:before="0" w:after="0"/>
      </w:pPr>
    </w:p>
    <w:p>
      <w:r>
        <w:t xml:space="preserve">Dodatno se proširuje opseg digitalnih usluga i alata koji se koriste u redovnom poslovanju, a time i troškovi održavanja istih.</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71.120,05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82.221,17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Povećale su se naknade za članove mjesnih odbora.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48.764,36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41.231,62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w:t>
            </w:r>
          </w:p>
        </w:tc>
      </w:tr>
    </w:tbl>
    <w:p>
      <w:pPr>
        <w:spacing w:before="0" w:after="0"/>
      </w:pPr>
    </w:p>
    <w:p>
      <w:r>
        <w:t xml:space="preserve">Troškovi reprezentacije smanjeni su u odnosu na prethodnu godinu. Najveći dio odnosi se na manifestacije (Badnjak, 1. maj, Bela nedeja i dr.) te različite promocije i javna događanja.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r>
        <w:t xml:space="preserve">Povećanje se odnosi na Udrugu gradova – obračun prema izvršenju prihoda.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78.564,50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w:t>
            </w:r>
          </w:p>
        </w:tc>
      </w:tr>
    </w:tbl>
    <w:p>
      <w:pPr>
        <w:spacing w:before="0" w:after="0"/>
      </w:pPr>
    </w:p>
    <w:p>
      <w:r>
        <w:t xml:space="preserve">U 2024. godini izvršena je isplata naknade štete zbog pravnih nedostataka na nekretnini pa je stoga zabilježeno smanjenje.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727.825,36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44.927,09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w:t>
            </w:r>
          </w:p>
        </w:tc>
      </w:tr>
    </w:tbl>
    <w:p>
      <w:pPr>
        <w:spacing w:before="0" w:after="0"/>
      </w:pPr>
    </w:p>
    <w:p>
      <w:r>
        <w:t xml:space="preserve">Tijekom 2024. godine izvršena su plaćanja za brisanje upisanih tereta na objektu Tometići 28A (ošasna imovina), ukupno 685.743,56 eur.</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(šifre 3421 do 3428)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49.285,73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70.712,47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w:t>
            </w:r>
          </w:p>
        </w:tc>
      </w:tr>
    </w:tbl>
    <w:p>
      <w:pPr>
        <w:spacing w:before="0" w:after="0"/>
      </w:pPr>
    </w:p>
    <w:p>
      <w:r>
        <w:t xml:space="preserve">Povećanje se odnosi na nova kreditna zaduženja – za EU projekt koji je krenuo s otplatom te za kupnju zemljišta i izgradnju cesta.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Povećanje troškova bankarskih usluga za redovno poslovanje.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49.519,36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r>
        <w:t xml:space="preserve">Povećanje sredstava za program bespovratnih potpora za poduzetnike.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inozemnim vladama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104.156,51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Prijenosi odobrenih i isplaćenih bespovratnih sredstava slovenskim partnerima na projektu Interreg HR-SLO.</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29.279,24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w:t>
            </w:r>
          </w:p>
        </w:tc>
      </w:tr>
    </w:tbl>
    <w:p>
      <w:pPr>
        <w:spacing w:before="0" w:after="0"/>
      </w:pPr>
    </w:p>
    <w:p>
      <w:r>
        <w:t xml:space="preserve">Isplata tekuće pomoći Gradu Rijeci za troškove funkcioniranja sortirnice – dodatkom Sporazuma utvrđeno je financiranje troškova upravljanja nakon odabira pružatelja usluge.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Kapitalna pomoć osnovnoj školi u Kastvu.</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186.155,46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233.620,46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Povećana su sredstva za muzejsku zbirku i knjižnicu gdje su zaposlene dodatne osobe te se dogodio i porast plaća.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1772,3</w:t>
            </w:r>
          </w:p>
        </w:tc>
      </w:tr>
    </w:tbl>
    <w:p>
      <w:pPr>
        <w:spacing w:before="0" w:after="0"/>
      </w:pPr>
    </w:p>
    <w:p>
      <w:r>
        <w:t xml:space="preserve">Isplaćena su sredstva pomoći MUP-u za nabavu kamera za nadzor brzine na području Grada Kastva.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1.747.923,23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2.235.736,07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Rasla je plaća zaposlenih te broj zaposlenih prema potrebama tijekom godine.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w:t>
            </w:r>
          </w:p>
        </w:tc>
      </w:tr>
    </w:tbl>
    <w:p>
      <w:pPr>
        <w:spacing w:before="0" w:after="0"/>
      </w:pPr>
    </w:p>
    <w:p>
      <w:r>
        <w:t xml:space="preserve">Nabavljena je potrebna oprema za objekte vrtića.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56.807,63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Prijenosi odobrenih i isplaćenih bespovratnih sredstava partnerima na projektu Interreg HR-SLO.</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289.353,79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433.405,91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w:t>
            </w:r>
          </w:p>
        </w:tc>
      </w:tr>
    </w:tbl>
    <w:p>
      <w:pPr>
        <w:spacing w:before="0" w:after="0"/>
      </w:pPr>
    </w:p>
    <w:p>
      <w:r>
        <w:t xml:space="preserve">Povećane su naknade za novorođenčad, isplatu pomoći umirovljenicima, naknade za nabavku radnih bilježnica učenicima osnovnih škola te naknada po odluci o socijalnoj skrbi.</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450.270,87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603.093,57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r>
    </w:tbl>
    <w:p>
      <w:pPr>
        <w:spacing w:before="0" w:after="0"/>
      </w:pPr>
    </w:p>
    <w:p>
      <w:r>
        <w:t xml:space="preserve">Tijekom godine podignuti su iznosi subvencije cijene vrtića unutar te izvan mreže, sa Županijom se provodio program financiranja prijevoza onkoloških bolesnika na terapije, omogućeni su dodatni subvencionirani liječnički pregledi za građane.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608.167,84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762.901,52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Povećana su sredstva koja se dodjeljuju udrugama, za rad Crvenog križa te osobito za DVD i vatrogastvo. Povećana su i sredstva za turističku zajednicu.</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iz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34.462,99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439,6</w:t>
            </w:r>
          </w:p>
        </w:tc>
      </w:tr>
    </w:tbl>
    <w:p>
      <w:pPr>
        <w:spacing w:before="0" w:after="0"/>
      </w:pPr>
    </w:p>
    <w:p>
      <w:r>
        <w:t xml:space="preserve">Prijenosi odobrenih i isplaćenih bespovratnih sredstava partnerima na projektu Interreg HR-SLO te partneru na projektu Erasmus.</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Isplata sredstava po sudskoj nagodbi.</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32.905,01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135.765,52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412,6</w:t>
            </w:r>
          </w:p>
        </w:tc>
      </w:tr>
    </w:tbl>
    <w:p>
      <w:pPr>
        <w:spacing w:before="0" w:after="0"/>
      </w:pPr>
    </w:p>
    <w:p>
      <w:r>
        <w:t xml:space="preserve">Isplaćena su sredstva komunalnom društvu VIK za izgradnju vodovodnih ogranaka te Komunalnom društvu Kastav-Viškovo za nabavu opreme i strojeva.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55.395,93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39.877,30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w:t>
            </w:r>
          </w:p>
        </w:tc>
      </w:tr>
    </w:tbl>
    <w:p>
      <w:pPr>
        <w:spacing w:before="0" w:after="0"/>
      </w:pPr>
    </w:p>
    <w:p>
      <w:r>
        <w:t xml:space="preserve">Tijekom 2025. godine ostvareno je nekoliko manjih prodaja.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58.816,13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nije bilo prodaja poslovnih prostora.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nije bilo prodaja vozila.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2.055.289,24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206.163,16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Tijekom 2025. godine bilo je nekolicina manjih kupoprodaja zemljišta u cilju okrupnjavanja zemljišta, izgradnje infrastrukture.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Počelo se s knjiženjem dokumentacije za buduću infrastrukturu na ovaj konto.</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1.114.162,05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w:t>
            </w:r>
          </w:p>
        </w:tc>
      </w:tr>
    </w:tbl>
    <w:p>
      <w:pPr>
        <w:spacing w:before="0" w:after="0"/>
      </w:pPr>
    </w:p>
    <w:p>
      <w:r>
        <w:t xml:space="preserve">U 2025. godini završeno je i otvoreno reciklažno dvorište.</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886.294,39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5141,7</w:t>
            </w:r>
          </w:p>
        </w:tc>
      </w:tr>
    </w:tbl>
    <w:p>
      <w:pPr>
        <w:spacing w:before="0" w:after="0"/>
      </w:pPr>
    </w:p>
    <w:p>
      <w:r>
        <w:t xml:space="preserve">Izgrađena je cesta u radnoj zoni te je izrađena projektna dokumentacija. </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651.638,19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383.392,37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w:t>
            </w:r>
          </w:p>
        </w:tc>
      </w:tr>
    </w:tbl>
    <w:p>
      <w:pPr>
        <w:spacing w:before="0" w:after="0"/>
      </w:pPr>
    </w:p>
    <w:p>
      <w:r>
        <w:t xml:space="preserve">Odnosi se na ulaganja u komunalnu infrastrukturu (Novo groblje Kastav i javna rasvjeta) te uređenje spomen obilježja. </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174.787,84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414.946,02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237,4</w:t>
            </w:r>
          </w:p>
        </w:tc>
      </w:tr>
    </w:tbl>
    <w:p>
      <w:pPr>
        <w:spacing w:before="0" w:after="0"/>
      </w:pPr>
    </w:p>
    <w:p>
      <w:r>
        <w:t xml:space="preserve">Opremljena je nova zgrada Gradske uprave s multifunkcionalnom dvoranom te su nabavljena računala za knjižnicu te gradsku upravu prema potrebama.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w:t>
            </w:r>
          </w:p>
        </w:tc>
      </w:tr>
    </w:tbl>
    <w:p>
      <w:pPr>
        <w:spacing w:before="0" w:after="0"/>
      </w:pPr>
    </w:p>
    <w:p>
      <w:r>
        <w:t xml:space="preserve">Nabavljen je klima uređaj za prostor dječjeg vrtića.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sklopu Interreg projekta nabavljena je meto stanica.</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145.220,36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191.564,23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Nabavljena je komunalna oprema, oprema za reciklažno dvorište, oprema u sklopu projekta Bioraznoliki vrt za potrebe dječjeg vrtića te nova ljetna pozornica i radni stroj viličar.</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troškove prostorno planske dokumentacije koji su u ranijim godinama knjiženi na drugi konto.</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2.272.833,18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2.847.119,16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bl>
    <w:p>
      <w:pPr>
        <w:spacing w:before="0" w:after="0"/>
      </w:pPr>
    </w:p>
    <w:p>
      <w:r>
        <w:t xml:space="preserve">Tijekom 2024. godine izvršena su ulaganja na komunalnoj infrastrukturi u visini 2,6 milijuna eura, početak investicija na pilot projektima u sklopu Interreg projekta te uređenje fasada na zgradi dječjeg vrtića.</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2.665.249,48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658.850,00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w:t>
            </w:r>
          </w:p>
        </w:tc>
      </w:tr>
    </w:tbl>
    <w:p>
      <w:pPr>
        <w:spacing w:before="0" w:after="0"/>
      </w:pPr>
    </w:p>
    <w:p>
      <w:r>
        <w:t xml:space="preserve">Tijekom 2025. godine ostvareni su primici od financijske imovine i zaduživanja u iznosu 658.850 EUR, a odnose se na izgradnju cesta u radnoj zoni te završetak ceste Ćikovići-111.brigada.</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1.431.325,25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551.524,65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w:t>
            </w:r>
          </w:p>
        </w:tc>
      </w:tr>
    </w:tbl>
    <w:p>
      <w:pPr>
        <w:spacing w:before="0" w:after="0"/>
      </w:pPr>
    </w:p>
    <w:p>
      <w:r>
        <w:t xml:space="preserve">Izdaci za otplatu glavnice dugoročnih kredita iznose 551.524,65 EUR i odnose se na otplatu postojećih dugoročnih kredita (IPARD-cesta, prostor dječjeg vrtića, energetska obnova javne rasvjete te Projekt Preda).</w:t>
      </w:r>
    </w:p>
    <w:p>
      <w:r>
        <w:t xml:space="preserve">Bespovratna sredstva ostvarena u 2025. g na projektu „Revitalizacija bivšeg industrijskog postrojenja Preda“ u iznosu 159.558,60 EUR utrošena su za zatvaranje dijela glavnice kredita.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771.947,55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883.773,33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Ukupni rezultat je manjak prihoda i primitaka u iznosu 883.773,33 EUR za tekuću godinu uz preneseni višak u iznosu 2.042.597,10 EUR.</w:t>
      </w:r>
    </w:p>
    <w:p>
      <w:r>
        <w:t xml:space="preserve">Višak raspoloživ u sljedećem razdoblju iznosi 1.158.823,77 EUR.</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38.425.998,06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38.489.884,93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bl>
    <w:p>
      <w:pPr>
        <w:spacing w:before="0" w:after="0"/>
      </w:pPr>
    </w:p>
    <w:p>
      <w:r>
        <w:t xml:space="preserve">Povećanje se odnosi na gradska zemljišta.  </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27.361.641,83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28.900.474,30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Izvršena su ulaganja na objektima dječjeg vrtića na više lokacija, reciklažnom dvorištu, komunalnoj infrastrukturi (ceste, parkirališta i sl.), radovima na sustavu oborinske odvodnje, javnim zelenim površinama, uređeno je spomen obilježje, ulaganja na Novom gradskom groblju kroz daljnje širenje ukopnih polja i dr.</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724.786,70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1.079.558,56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w:t>
            </w:r>
          </w:p>
        </w:tc>
      </w:tr>
    </w:tbl>
    <w:p>
      <w:pPr>
        <w:spacing w:before="0" w:after="0"/>
      </w:pPr>
    </w:p>
    <w:p>
      <w:r>
        <w:t xml:space="preserve">Za redovne potrebe izvršena je nabava računalne opreme, završeno je opremanje novog objekta gradske uprave i knjižnice. Nabavljena je i komunalna oprema, meteo stanica u sklopu EU projekta, radni stroj viličar, nova pozornica te oprema za reciklažno dvorište koje je otvoreno u 2025.g</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158.279,78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48.688,65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w:t>
            </w:r>
          </w:p>
        </w:tc>
      </w:tr>
    </w:tbl>
    <w:p>
      <w:pPr>
        <w:spacing w:before="0" w:after="0"/>
      </w:pPr>
    </w:p>
    <w:p>
      <w:r>
        <w:t xml:space="preserve">Za potrebe protokola nabavljene su knjige i umjetnička djela. Isknjižene su stare knjige nakon selidbe u novi prostor knjižnice.</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 i 02925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0251+0252-02925)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 i 02925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303.282,19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1.106.414,02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364,8</w:t>
            </w:r>
          </w:p>
        </w:tc>
      </w:tr>
    </w:tbl>
    <w:p>
      <w:pPr>
        <w:spacing w:before="0" w:after="0"/>
      </w:pPr>
    </w:p>
    <w:p>
      <w:r>
        <w:t xml:space="preserve">Ulaganja na zelenim površinama kroz projekt prilagodbe klimatskim promjenama sufinanciran od strane FZOEU te od strane Grada.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1.117.899,77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1.025.992,24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Odnosi se na izrađenu projektnu dokumentaciju. Isknjižena je stara dokumentacija.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183.717,52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199.784,03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U tijeku 2025. godine povećana je vrijednost sitnog inventara za novonabavljeni sitni inventar i auto gume. </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493.050,89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1.434.502,36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w:t>
            </w:r>
          </w:p>
        </w:tc>
      </w:tr>
    </w:tbl>
    <w:p>
      <w:pPr>
        <w:spacing w:before="0" w:after="0"/>
      </w:pPr>
    </w:p>
    <w:p>
      <w:r>
        <w:t xml:space="preserve">U pripremi je kao nova vrijednost cesta u RZ Žegoti za koju se tehnički pregled očekuje u 2026. godini.</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942,9</w:t>
            </w:r>
          </w:p>
        </w:tc>
      </w:tr>
    </w:tbl>
    <w:p>
      <w:pPr>
        <w:spacing w:before="0" w:after="0"/>
      </w:pPr>
    </w:p>
    <w:p>
      <w:r>
        <w:t xml:space="preserve">Potraživanja za pretporez.</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44.292,24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po predanim ZNS-ovima koja nisu naplaćena do 31.12.2025.</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6.097.796,10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5.932.352,14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w:t>
            </w:r>
          </w:p>
        </w:tc>
      </w:tr>
    </w:tbl>
    <w:p>
      <w:pPr>
        <w:spacing w:before="0" w:after="0"/>
      </w:pPr>
    </w:p>
    <w:p>
      <w:r>
        <w:t xml:space="preserve">Stanje obveza na dan 31.12.2025. godine iznosi 5.932.352,14 EUR, a sastoji se iz:</w:t>
      </w:r>
    </w:p>
    <w:p>
      <w:r>
        <w:t xml:space="preserve">231</w:t>
      </w:r>
      <w:r>
        <w:br/>
      </w:r>
      <w:r>
        <w:t xml:space="preserve">Obveze za zaposlene – obračunate plaće za dužnosnika i zaposlenike gradske uprave za 12/25 koje su isplaćene početkom siječnja 2026.g. </w:t>
      </w:r>
      <w:r>
        <w:br/>
      </w:r>
      <w:r>
        <w:t xml:space="preserve">99.019,20 EUR</w:t>
      </w:r>
      <w:r>
        <w:br/>
      </w:r>
      <w:r>
        <w:t xml:space="preserve"> 232</w:t>
      </w:r>
      <w:r>
        <w:br/>
      </w:r>
      <w:r>
        <w:t xml:space="preserve">Obveze za materijalne rashode – računi i obveze koje se odnose na 2025.g. (naknada za prijevoz, uredski materijal, električna energija, usluge telefona, pošte i prijevoza, izdaci za tekuće i investicijsko održavanje, komunalne usluge, najamnine i zakupnine, intelektualne i osobne usluge, ostali nespomenuti rashodi poslovanja i dr.), a podmireni su u 2026.g.</w:t>
      </w:r>
      <w:r>
        <w:br/>
      </w:r>
      <w:r>
        <w:t xml:space="preserve"> 213.600,78 EUR</w:t>
      </w:r>
      <w:r>
        <w:br/>
      </w:r>
      <w:r>
        <w:t xml:space="preserve"> 234</w:t>
      </w:r>
      <w:r>
        <w:br/>
      </w:r>
      <w:r>
        <w:t xml:space="preserve">Obveze za financijske rashode odnose se na kamatu po dugoročnim kreditima u korištenju koja je plaćena u 2026. godini te nekoliko manjih računa</w:t>
      </w:r>
      <w:r>
        <w:br/>
      </w:r>
      <w:r>
        <w:t xml:space="preserve"> 5.426,43 EUR</w:t>
      </w:r>
      <w:r>
        <w:br/>
      </w:r>
      <w:r>
        <w:t xml:space="preserve"> 235</w:t>
      </w:r>
      <w:r>
        <w:br/>
      </w:r>
      <w:r>
        <w:t xml:space="preserve">Obveze za subvencije – odnose se na subvenciju kamata na poduzetničke kredite koja je plaćena u 2026. godini.</w:t>
      </w:r>
      <w:r>
        <w:br/>
      </w:r>
      <w:r>
        <w:t xml:space="preserve"> 1.944,50 EUR</w:t>
      </w:r>
      <w:r>
        <w:br/>
      </w:r>
      <w:r>
        <w:t xml:space="preserve">236</w:t>
      </w:r>
      <w:r>
        <w:br/>
      </w:r>
      <w:r>
        <w:t xml:space="preserve">Obveze za pomoći dane u inozemstvo i unutar općeg proračuna – isplata pomoći za upravljanje sortirnicom koja je izvršena u 2026. godini, a odnosi se na kraj 2025. godine</w:t>
      </w:r>
      <w:r>
        <w:br/>
      </w:r>
      <w:r>
        <w:t xml:space="preserve">4.821,54 EUR</w:t>
      </w:r>
      <w:r>
        <w:br/>
      </w:r>
      <w:r>
        <w:t xml:space="preserve"> 237</w:t>
      </w:r>
      <w:r>
        <w:br/>
      </w:r>
      <w:r>
        <w:t xml:space="preserve">Obveze za naknade građanima i kućanstvima – odnose se na isplate iz socijalnog programa za prosinac 2025.g. koje su plaćene u 2026.g. te račune za 12 mjesec koji su došli u 2026. godini </w:t>
      </w:r>
      <w:r>
        <w:br/>
      </w:r>
      <w:r>
        <w:t xml:space="preserve"> 72.540,94 EUR</w:t>
      </w:r>
      <w:r>
        <w:br/>
      </w:r>
      <w:r>
        <w:t xml:space="preserve"> 238</w:t>
      </w:r>
      <w:r>
        <w:br/>
      </w:r>
      <w:r>
        <w:t xml:space="preserve"> Obveze za kazne, naknade šteta i kapitalne pomoći – odnosi se na sredstva za KD Kastav-Viškovo koja su isplaćena u 2026. godini, a odnose se na 2025. godinu te nekoliko računa za potrebe Crvenog križa Kastav.</w:t>
      </w:r>
      <w:r>
        <w:br/>
      </w:r>
      <w:r>
        <w:t xml:space="preserve"> 20.543,40 EUR</w:t>
      </w:r>
    </w:p>
    <w:p>
      <w:r>
        <w:t xml:space="preserve">239</w:t>
      </w:r>
    </w:p>
    <w:p>
      <w:r>
        <w:t xml:space="preserve">Ostale tekuće obveze</w:t>
      </w:r>
    </w:p>
    <w:p>
      <w:r>
        <w:t xml:space="preserve">Navedene obveze se odnose na obvezu za PDV po obračunu za prosinac 2025.g. 141.216,33 EUR, obveze za pretplate 3.856,88 EUR i dr. </w:t>
      </w:r>
      <w:r>
        <w:br/>
      </w:r>
      <w:r>
        <w:t xml:space="preserve"> 154.818,21 EUR</w:t>
      </w:r>
    </w:p>
    <w:p>
      <w:r>
        <w:t xml:space="preserve">24</w:t>
      </w:r>
    </w:p>
    <w:p>
      <w:r>
        <w:t xml:space="preserve"> Obveze za nabavu nefinancijske imovine</w:t>
      </w:r>
    </w:p>
    <w:p>
      <w:r>
        <w:t xml:space="preserve">Obveze se odnose na kapitalna ulaganja u 2025.g. temeljem ispostavljenih računa i obračunskih situacija koji će biti plaćeni u 2026. g.</w:t>
      </w:r>
      <w:r>
        <w:br/>
      </w:r>
      <w:r>
        <w:t xml:space="preserve"> 687.637,09 EUR</w:t>
      </w:r>
      <w:r>
        <w:br/>
      </w:r>
      <w:r>
        <w:t xml:space="preserve"> 26</w:t>
      </w:r>
      <w:r>
        <w:br/>
      </w:r>
      <w:r>
        <w:t xml:space="preserve">Obveze za kredite od tuzemnih kreditnih institucija –  dugoročne su obveze koje se odnose na ostatak duga na dan 31.12.2025. po kreditnim zaduženjima. Sve dospjele obveze su podmirene u rokovima.  </w:t>
      </w:r>
      <w:r>
        <w:br/>
      </w:r>
      <w:r>
        <w:t xml:space="preserve"> 4.532.580,32 EUR</w:t>
      </w:r>
      <w:r>
        <w:br/>
      </w:r>
      <w:r>
        <w:t xml:space="preserve">27</w:t>
      </w:r>
      <w:r>
        <w:br/>
      </w:r>
      <w:r>
        <w:t xml:space="preserve">Obveze za predujmove, depozite, jamčevne pologe i tuđe prihode – dio NUV-a koji je naplaćen, a prenesen je Hrvatskim vodama u 2026. godini, uplaćen predujam za lokalnu komponentu, jamčevni polozi uplaćeni na račun Grada. Uključuje i obveze za naplaćena sredstva proračunskog korisnika.</w:t>
      </w:r>
      <w:r>
        <w:br/>
      </w:r>
      <w:r>
        <w:t xml:space="preserve">139.419,73 EUR</w:t>
      </w:r>
      <w:r>
        <w:br/>
      </w:r>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12.939.517,96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12.321.718,50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U izvještaju su rashodi iskazani prema funkcijskoj klasifikaciji odnosno namjeni rashoda određenoj u skladu s odredbama Pravilnika o proračunskim klasifikacijama, a zbroj rashoda po funkcijskoj klasifikaciji na Šifra R1 odgovara razlici iznosa ukupnih rashoda (14.557.454,57 EUR) i iznosa prijenosa proračunskim korisnicima iz nadležnog proračuna za financiranje redovne djelatnosti (2.235.736,07 EUR) u obrascu PR-RAS te iznosi 12.321.718,50 EUR.</w:t>
      </w:r>
    </w:p>
    <w:p>
      <w:r>
        <w:t xml:space="preserve">Izdaci za dionice i udjele u glavnici trgovačkih društava u javnom sektoru, kao i ostali izdaci za financijsku imovinu i otplate zajmova funkcijski se ne klasificiraju.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224.842,00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4408,7</w:t>
            </w:r>
          </w:p>
        </w:tc>
      </w:tr>
    </w:tbl>
    <w:p>
      <w:pPr>
        <w:spacing w:before="0" w:after="0"/>
      </w:pPr>
    </w:p>
    <w:p>
      <w:r>
        <w:t xml:space="preserve">Promjene se odnose na evidentiranje Ugovora o prijenosu prava vlasništva bez naknade prema ŽUC-u PGŽ te ugovor o prijenosu prava vlasništva između PGŽ i Grada Kastva.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247.310,37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 iznosu 247.310,37 EUR odnose se na ulazne račune i obveze za koje je plaćanje izvršeno početkom 2026. godine, a došli su krajem godine ili početkom 2026. godine. Prekoračenje više od 60 dana odnosi se na račune koji su naknadno dostavljeni nakon usklađenja s dobavljačima, a odnose se na ranije razdoblje.</w:t>
      </w:r>
    </w:p>
    <w:p/>
    <w:p>
      <w:pPr>
        <w:jc w:val="center"/>
        <w:pStyle w:val="Normal"/>
        <w:spacing w:line="240" w:lineRule="auto"/>
        <w:keepNext/>
      </w:pPr>
      <w:r>
        <w:rPr>
          <w:sz w:val="28"/>
          <w:rFonts w:ascii="Times New Roman" w:hAnsi="Times New Roman"/>
        </w:rPr>
        <w:t xml:space="preserve">Bilješka 90.</w:t>
      </w:r>
    </w:p>
    <w:p>
      <w:pPr>
        <w:jc w:val="both"/>
        <w:pStyle w:val="Normal"/>
        <w:spacing w:line="240" w:lineRule="auto"/>
      </w:pPr>
      <w:r>
        <w:rPr>
          <w:b/>
          <w:sz w:val="24"/>
          <w:rFonts w:ascii="Times New Roman" w:hAnsi="Times New Roman"/>
        </w:rPr>
        <w:t xml:space="preserve">EU izvještaj</w:t>
      </w:r>
    </w:p>
    <w:p>
      <w:r>
        <w:t xml:space="preserve">S obzirom da se izvještaj podnosi prvi puta, sukladno okružnici nisu uneseni podaci "ostvareno u izvještajnom razdoblju prethodne godine“tj. „Stanje na prvi dan izvještajnog razdoblja“. Uneseni su podaci za 4 EU projekta koja se financiraju iz različitih izvora. Izvori su usklađeni s novom klasifikacijom.</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fc188eb24ef47fb" /></Relationships>
</file>